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20" w:before="900"/>
        <w:jc w:val="center"/>
      </w:pPr>
      <w:r>
        <w:rPr>
          <w:rFonts w:ascii="Georgia" w:cs="Georgia" w:eastAsia="Georgia" w:hAnsi="Georgia"/>
          <w:b/>
          <w:bCs/>
          <w:i/>
          <w:iCs/>
          <w:color w:val="FFFFFF"/>
          <w:sz w:val="64"/>
          <w:szCs w:val="64"/>
          <w:shd w:fill="214D42" w:color="auto" w:val="clear"/>
        </w:rPr>
        <w:t xml:space="preserve">M</w:t>
      </w:r>
    </w:p>
    <w:p>
      <w:pPr>
        <w:spacing w:after="150"/>
        <w:jc w:val="center"/>
      </w:pPr>
      <w:r>
        <w:rPr>
          <w:rFonts w:ascii="Aptos" w:cs="Aptos" w:eastAsia="Aptos" w:hAnsi="Aptos"/>
          <w:b/>
          <w:bCs/>
          <w:color w:val="214D42"/>
          <w:sz w:val="36"/>
          <w:szCs w:val="36"/>
        </w:rPr>
        <w:t xml:space="preserve">MENS</w:t>
      </w:r>
    </w:p>
    <w:p>
      <w:pPr>
        <w:spacing w:after="360"/>
        <w:jc w:val="center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FARE CHIAREZZA</w:t>
      </w:r>
    </w:p>
    <w:p>
      <w:pPr>
        <w:spacing w:after="180"/>
        <w:jc w:val="center"/>
      </w:pPr>
      <w:r>
        <w:rPr>
          <w:rFonts w:ascii="Georgia" w:cs="Georgia" w:eastAsia="Georgia" w:hAnsi="Georgia"/>
          <w:color w:val="18312B"/>
          <w:sz w:val="54"/>
          <w:szCs w:val="54"/>
        </w:rPr>
        <w:t xml:space="preserve">Manuale operativo della demo MENS</w:t>
      </w:r>
    </w:p>
    <w:p>
      <w:pPr>
        <w:spacing w:after="500" w:before="0" w:line="360" w:lineRule="auto"/>
        <w:jc w:val="center"/>
      </w:pPr>
      <w:r>
        <w:rPr>
          <w:rFonts w:ascii="Aptos" w:cs="Aptos" w:eastAsia="Aptos" w:hAnsi="Aptos"/>
          <w:color w:val="61716B"/>
          <w:sz w:val="24"/>
          <w:szCs w:val="24"/>
        </w:rPr>
        <w:t xml:space="preserve">Guida completa per professionisti, persone assistite e presentazioni controllate</w:t>
      </w:r>
    </w:p>
    <w:tbl>
      <w:tblPr>
        <w:tblW w:type="dxa" w:w="69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50"/>
        <w:gridCol w:w="3450"/>
      </w:tblGrid>
      <w:tr>
        <w:tc>
          <w:tcPr>
            <w:tcW w:type="dxa" w:w="34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VERSIONE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4"/>
                <w:szCs w:val="24"/>
              </w:rPr>
              <w:t xml:space="preserve">1.0</w:t>
            </w:r>
          </w:p>
        </w:tc>
        <w:tc>
          <w:tcPr>
            <w:tcW w:type="dxa" w:w="34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AMBITO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9"/>
                <w:szCs w:val="19"/>
              </w:rPr>
              <w:t xml:space="preserve">Ambiente dimostrativo con soli dati sintetici</w:t>
            </w:r>
          </w:p>
        </w:tc>
      </w:tr>
    </w:tbl>
    <w:p>
      <w:pPr>
        <w:spacing w:after="120" w:before="500" w:line="300" w:lineRule="auto"/>
        <w:jc w:val="center"/>
      </w:pPr>
      <w:r>
        <w:rPr>
          <w:rFonts w:ascii="Aptos" w:cs="Aptos" w:eastAsia="Aptos" w:hAnsi="Aptos"/>
          <w:b/>
          <w:bCs/>
          <w:color w:val="9A684D"/>
          <w:sz w:val="18"/>
          <w:szCs w:val="18"/>
        </w:rPr>
        <w:t xml:space="preserve">Documento operativo per la demo. Non usare dati sanitari reali.</w:t>
      </w:r>
    </w:p>
    <w:p>
      <w:pPr>
        <w:spacing w:after="120" w:before="0" w:line="300" w:lineRule="auto"/>
        <w:jc w:val="center"/>
      </w:pPr>
      <w:r>
        <w:rPr>
          <w:rFonts w:ascii="Aptos" w:cs="Aptos" w:eastAsia="Aptos" w:hAnsi="Aptos"/>
          <w:color w:val="61716B"/>
          <w:sz w:val="17"/>
          <w:szCs w:val="17"/>
        </w:rPr>
        <w:t xml:space="preserve">Settembre 2026</w:t>
      </w:r>
    </w:p>
    <w:p>
      <w:pPr>
        <w:sectPr>
          <w:type w:val="continuous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ORIENTAMENTO</w:t>
      </w:r>
    </w:p>
    <w:p>
      <w:pPr>
        <w:pStyle w:val="Heading1"/>
        <w:keepNext/>
        <w:spacing w:after="160" w:before="280"/>
      </w:pPr>
      <w:r>
        <w:t xml:space="preserve">Come usare questo manuale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18312B"/>
          <w:sz w:val="20"/>
          <w:szCs w:val="20"/>
        </w:rPr>
        <w:t xml:space="preserve">Il manuale segue i due ruoli della demo. Ogni funzione indica scopo, passaggi, visibilità, uso dell’AI, memoria e limiti. In presentazione è consigliato seguire prima la prova guidata e poi aprire soltanto le schede utili al pubblico.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50"/>
      </w:tblGrid>
      <w:tr>
        <w:trPr>
          <w:cantSplit/>
        </w:trPr>
        <w:tc>
          <w:tcPr>
            <w:tcW w:type="dxa" w:w="9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AVVERTENZA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MENS è ancora un ambiente dimostrativo. Non è un dispositivo medico, non formula diagnosi e non sostituisce professionista, servizi territoriali o numero unico di emergenza 112.</w:t>
            </w:r>
          </w:p>
        </w:tc>
      </w:tr>
    </w:tbl>
    <w:p>
      <w:pPr>
        <w:pStyle w:val="Heading2"/>
        <w:keepNext/>
        <w:spacing w:after="160" w:before="180"/>
      </w:pPr>
      <w:r>
        <w:t xml:space="preserve">Indice operativo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050"/>
      </w:tblGrid>
      <w:tr>
        <w:trPr>
          <w:cantSplit/>
        </w:trPr>
        <w:tc>
          <w:tcPr>
            <w:tcW w:type="dxa" w:w="25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Demo in 15 minuti</w:t>
            </w:r>
          </w:p>
        </w:tc>
        <w:tc>
          <w:tcPr>
            <w:tcW w:type="dxa" w:w="70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Copione, preparazione e checklist iniziale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P01–P12</w:t>
            </w:r>
          </w:p>
        </w:tc>
        <w:tc>
          <w:tcPr>
            <w:tcW w:type="dxa" w:w="70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Profilo, inviti, policy, fascicolo, storia, configurazioni, pattern, voce, appuntamenti e JIT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A01–A07</w:t>
            </w:r>
          </w:p>
        </w:tc>
        <w:tc>
          <w:tcPr>
            <w:tcW w:type="dxa" w:w="70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Accesso persona, riflessioni, dialogo, segnalazioni, PIN, trasparenza ed emergenze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AI e sicurezza</w:t>
            </w:r>
          </w:p>
        </w:tc>
        <w:tc>
          <w:tcPr>
            <w:tcW w:type="dxa" w:w="70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Principi, catena di controllo e attività necessarie prima della produzione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Glossario</w:t>
            </w:r>
          </w:p>
        </w:tc>
        <w:tc>
          <w:tcPr>
            <w:tcW w:type="dxa" w:w="70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Definizioni essenziali e checklist finale</w:t>
            </w:r>
          </w:p>
        </w:tc>
      </w:tr>
    </w:tbl>
    <w:p>
      <w:pPr>
        <w:pStyle w:val="Heading2"/>
        <w:keepNext/>
        <w:spacing w:after="160" w:before="180"/>
      </w:pPr>
      <w:r>
        <w:t xml:space="preserve">Mappa dei ruoli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50"/>
        <w:gridCol w:w="3000"/>
        <w:gridCol w:w="650"/>
        <w:gridCol w:w="2250"/>
      </w:tblGrid>
      <w:tr>
        <w:trPr>
          <w:cantSplit/>
        </w:trPr>
        <w:tc>
          <w:tcPr>
            <w:tcW w:type="dxa" w:w="3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PROFESSIONISTA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Configura, prepara la seduta e consulta soltanto il materiale autorizzato.</w:t>
            </w:r>
          </w:p>
        </w:tc>
        <w:tc>
          <w:tcPr>
            <w:tcW w:type="dxa" w:w="6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8"/>
                <w:szCs w:val="28"/>
              </w:rPr>
              <w:t xml:space="preserve">→</w:t>
            </w:r>
          </w:p>
        </w:tc>
        <w:tc>
          <w:tcPr>
            <w:tcW w:type="dxa" w:w="3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PERSONA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Riflette durante il giorno e decide quando autorizzare la sessione conclusa.</w:t>
            </w:r>
          </w:p>
        </w:tc>
        <w:tc>
          <w:tcPr>
            <w:tcW w:type="dxa" w:w="6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8"/>
                <w:szCs w:val="28"/>
              </w:rPr>
              <w:t xml:space="preserve">→</w:t>
            </w:r>
          </w:p>
        </w:tc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MEMORIA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La giornata autorizzata entra stabilmente nella cartella; quella nuova resta protetta.</w:t>
            </w:r>
          </w:p>
        </w:tc>
      </w:tr>
    </w:tbl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PERCORSO CONSIGLIATO</w:t>
      </w:r>
    </w:p>
    <w:p>
      <w:pPr>
        <w:pStyle w:val="Heading1"/>
        <w:keepNext/>
        <w:spacing w:after="160" w:before="280"/>
      </w:pPr>
      <w:r>
        <w:t xml:space="preserve">La demo completa in 15 minuti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18312B"/>
          <w:sz w:val="20"/>
          <w:szCs w:val="20"/>
        </w:rPr>
        <w:t xml:space="preserve">Questo copione mostra il valore di MENS senza trasformare la prova in un tour tecnico. Preparare in anticipo almeno una giornata già autorizzata, un appuntamento futuro e due temi ricorrenti.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8150"/>
      </w:tblGrid>
      <w:tr>
        <w:trPr>
          <w:cantSplit/>
        </w:trPr>
        <w:tc>
          <w:tcPr>
            <w:tcW w:type="dxa" w:w="14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9A684D"/>
                <w:sz w:val="18"/>
                <w:szCs w:val="18"/>
              </w:rPr>
              <w:t xml:space="preserve">0–2 min</w:t>
            </w:r>
          </w:p>
        </w:tc>
        <w:tc>
          <w:tcPr>
            <w:tcW w:type="dxa" w:w="81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Accesso e ruoli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Accedi come professionista, mostra Profilo e studio e crea un invito usando soltanto uno pseudonimo. Apri il link in una finestra privata per simulare la persona assistita.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9A684D"/>
                <w:sz w:val="18"/>
                <w:szCs w:val="18"/>
              </w:rPr>
              <w:t xml:space="preserve">2–6 min</w:t>
            </w:r>
          </w:p>
        </w:tc>
        <w:tc>
          <w:tcPr>
            <w:tcW w:type="dxa" w:w="81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Riflessione quotidiana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Dal profilo della persona inserisci una riflessione scritta o vocale, scegli il tipo di dialogo previsto dalla policy e usa Da discutere in seduta quando un passaggio merita attenzione.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9A684D"/>
                <w:sz w:val="18"/>
                <w:szCs w:val="18"/>
              </w:rPr>
              <w:t xml:space="preserve">6–9 min</w:t>
            </w:r>
          </w:p>
        </w:tc>
        <w:tc>
          <w:tcPr>
            <w:tcW w:type="dxa" w:w="81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Chiusura e autorizzazione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Concludi la giornata, genera un unico PIN e inseriscilo nell’area professionista. L’intera conversazione giornaliera entra nella memoria permanente; i giorni nuovi restano protetti.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9A684D"/>
                <w:sz w:val="18"/>
                <w:szCs w:val="18"/>
              </w:rPr>
              <w:t xml:space="preserve">9–13 min</w:t>
            </w:r>
          </w:p>
        </w:tc>
        <w:tc>
          <w:tcPr>
            <w:tcW w:type="dxa" w:w="81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Preparazione della seduta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Apri la cartella, consulta dashboard pre-seduta, timeline, temi, pattern ed eventuali misure vocali. Interroga la storia autorizzata e verifica sempre le fonti citate.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9A684D"/>
                <w:sz w:val="18"/>
                <w:szCs w:val="18"/>
              </w:rPr>
              <w:t xml:space="preserve">13–15 min</w:t>
            </w:r>
          </w:p>
        </w:tc>
        <w:tc>
          <w:tcPr>
            <w:tcW w:type="dxa" w:w="81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4F1EA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Fascicolo e trasparenza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Aggiungi una nota privata oppure fissa un estratto condivisibile. Torna nella vista persona e mostra la sezione Trasparenza, che distingue memoria autorizzata ed estratti fissati.</w:t>
            </w:r>
          </w:p>
        </w:tc>
      </w:tr>
    </w:tbl>
    <w:p>
      <w:pPr>
        <w:pStyle w:val="Heading2"/>
        <w:keepNext/>
        <w:spacing w:after="160" w:before="180"/>
      </w:pPr>
      <w:r>
        <w:t xml:space="preserve">Prima di iniziare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Usare esclusivamente account e contenuti sintetici.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Preparare due browser o una finestra privata per separare i ruoli.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Verificare prima della demo che n8n, Claude e Deepgram siano attivi.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Creare in anticipo almeno una giornata già autorizzata e un appuntamento futuro.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Mostrare fonti ed estratti prima di commentare una sintesi AI.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Dichiarare che pattern vocali e semantici sono sperimentali e non diagnostici.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Non simulare un’emergenza reale e non presentare MENS come servizio di monitoraggio.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Raccogliere gli errori con ora, ruolo, sezione e azione eseguita.</w:t>
      </w:r>
    </w:p>
    <w:p>
      <w:pPr>
        <w:sectPr>
          <w:headerReference w:type="default" r:id="rId9"/>
          <w:footerReference w:type="default" r:id="rId10"/>
          <w:type w:val="nextPage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PERCORSO PROFESSIONALE</w:t>
      </w:r>
    </w:p>
    <w:p>
      <w:pPr>
        <w:pStyle w:val="Heading1"/>
        <w:keepNext/>
        <w:spacing w:after="160" w:before="280"/>
      </w:pPr>
      <w:r>
        <w:t xml:space="preserve">Guida del professionista</w:t>
      </w:r>
    </w:p>
    <w:p>
      <w:pPr>
        <w:spacing w:after="260" w:before="0" w:line="300" w:lineRule="auto"/>
      </w:pPr>
      <w:r>
        <w:rPr>
          <w:rFonts w:ascii="Aptos" w:cs="Aptos" w:eastAsia="Aptos" w:hAnsi="Aptos"/>
          <w:color w:val="61716B"/>
          <w:sz w:val="22"/>
          <w:szCs w:val="22"/>
        </w:rPr>
        <w:t xml:space="preserve">Dalla configurazione dello studio alla consultazione della memoria autorizzata. La responsabilità interpretativa resta sempre umana.</w:t>
      </w: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P01 · PERCORSO PROFESSIONISTA</w:t>
      </w:r>
    </w:p>
    <w:p>
      <w:pPr>
        <w:pStyle w:val="Heading2"/>
        <w:keepNext/>
        <w:spacing w:after="160" w:before="180"/>
      </w:pPr>
      <w:r>
        <w:t xml:space="preserve">Profilo professionale e studio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Raccoglie identità professionale, organizzazione, membri, limiti del piano e predisposizione dell’abbonamento.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Professionista; le funzioni amministrative sono destinate al responsabile dello studio.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Profili e organizzazione sono separati dai contenuti del paziente.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Profilo e studio dalla testata della dashboard.</w:t>
      </w:r>
    </w:p>
    <w:p>
      <w:pPr>
        <w:pStyle w:val="ListParagraph"/>
        <w:numPr>
          <w:ilvl w:val="0"/>
          <w:numId w:val="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Compila i dati professionali e quelli dell’organizzazione.</w:t>
      </w:r>
    </w:p>
    <w:p>
      <w:pPr>
        <w:pStyle w:val="ListParagraph"/>
        <w:numPr>
          <w:ilvl w:val="0"/>
          <w:numId w:val="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Controlla membri, pazienti e limiti del piano demo.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Questi dati non sono materiale conversazionale e non vengono usati per formulare risposte alla persona.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Pagamenti e gestione commerciale sono predisposti, non attivi nella demo.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Usare solo identità e dati sintetici durante le prove.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Prima della presentazione verifica che nome dello studio e qualifica siano corretti.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P02 · PERCORSO PROFESSIONISTA</w:t>
      </w:r>
    </w:p>
    <w:p>
      <w:pPr>
        <w:pStyle w:val="Heading2"/>
        <w:keepNext/>
        <w:spacing w:after="160" w:before="180"/>
      </w:pPr>
      <w:r>
        <w:t xml:space="preserve">Inviti e cartelle permanenti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Collega una persona allo studio e crea una cartella sempre consultabile per il materiale già autorizzato.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Professionista assegnato e persona invitata, ciascuno nella propria vista.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cartella resta accessibile; le nuove giornate non autorizzate non diventano visibili al professionista.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Inserisci uno pseudonimo e crea il link di invito.</w:t>
      </w:r>
    </w:p>
    <w:p>
      <w:pPr>
        <w:pStyle w:val="ListParagraph"/>
        <w:numPr>
          <w:ilvl w:val="0"/>
          <w:numId w:val="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Fai aprire il link in un browser separato o in modalità privata.</w:t>
      </w:r>
    </w:p>
    <w:p>
      <w:pPr>
        <w:pStyle w:val="ListParagraph"/>
        <w:numPr>
          <w:ilvl w:val="0"/>
          <w:numId w:val="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Dopo l’attivazione seleziona la persona dalla lista Persone assistite.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L’AI non riceve automaticamente tutto il fascicolo: usa solo il contesto consentito dalla funzione chiamata.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Il flusso demo usa pseudonimi.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Non condividere il link di invito in canali non controllati.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Per simulare i due ruoli, usa due browser o una finestra privata.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P03 · PERCORSO PROFESSIONISTA</w:t>
      </w:r>
    </w:p>
    <w:p>
      <w:pPr>
        <w:pStyle w:val="Heading2"/>
        <w:keepNext/>
        <w:spacing w:after="160" w:before="180"/>
      </w:pPr>
      <w:r>
        <w:t xml:space="preserve">Policy inter-sessione L1, L2 e L3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Permette allo studio di scegliere quanto l’AI sia presente tra una seduta e l’altra.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4"/>
        <w:gridCol w:w="3183"/>
        <w:gridCol w:w="3183"/>
      </w:tblGrid>
      <w:tr>
        <w:trPr>
          <w:cantSplit/>
        </w:trPr>
        <w:tc>
          <w:tcPr>
            <w:tcW w:type="dxa" w:w="3184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214D42"/>
                <w:sz w:val="28"/>
                <w:szCs w:val="28"/>
              </w:rPr>
              <w:t xml:space="preserve">L1</w:t>
            </w:r>
          </w:p>
          <w:p>
            <w:pPr>
              <w:spacing w:after="8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Registrazione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Nessuna risposta generativa alla persona.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214D42"/>
                <w:sz w:val="28"/>
                <w:szCs w:val="28"/>
              </w:rPr>
              <w:t xml:space="preserve">L2</w:t>
            </w:r>
          </w:p>
          <w:p>
            <w:pPr>
              <w:spacing w:after="8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Organizzazione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Analisi disponibile soltanto al professionista.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6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8"/>
                <w:szCs w:val="28"/>
              </w:rPr>
              <w:t xml:space="preserve">L3</w:t>
            </w:r>
          </w:p>
          <w:p>
            <w:pPr>
              <w:spacing w:after="8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Dialogo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Risposta contenuta con funzioni approvate.</w:t>
            </w:r>
          </w:p>
        </w:tc>
      </w:tr>
    </w:tbl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Configurazione del professionista; la persona vede il comportamento risultante.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policy è versionata e fotografata nella conversazione per rendere ricostruibile il comportamento.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Configurazione professionale.</w:t>
      </w:r>
    </w:p>
    <w:p>
      <w:pPr>
        <w:pStyle w:val="ListParagraph"/>
        <w:numPr>
          <w:ilvl w:val="0"/>
          <w:numId w:val="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Scegli il livello appropriato e salva.</w:t>
      </w:r>
    </w:p>
    <w:p>
      <w:pPr>
        <w:pStyle w:val="ListParagraph"/>
        <w:numPr>
          <w:ilvl w:val="0"/>
          <w:numId w:val="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Ricorda che una sessione giornaliera già iniziata conserva la policy iniziale fino al giorno successivo.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L1 registra senza risposta generativa; L2 mantiene l’analisi per il professionista; L3 abilita un dialogo contenuto e non diagnostico.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L3 non sostituisce una relazione terapeutica.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La scelta del livello richiede valutazione professionale e consenso coerente.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Nella demo mostra prima L1, poi L3, per rendere evidente la differenza.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P04 · PERCORSO PROFESSIONISTA</w:t>
      </w:r>
    </w:p>
    <w:p>
      <w:pPr>
        <w:pStyle w:val="Heading2"/>
        <w:keepNext/>
        <w:spacing w:after="160" w:before="180"/>
      </w:pPr>
      <w:r>
        <w:t xml:space="preserve">Cartella paziente e Fascicolo professionale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Tiene insieme dati di contesto, note di seduta, estratti fissati e memoria autorizzata senza confonderne i ruoli.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profilo clinico e le note sono professionali; gli estratti fissati possono comparire nella Trasparenza della persona.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Profilo e note sono versionati; fissare non modifica il testo originale.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la cartella della persona.</w:t>
      </w:r>
    </w:p>
    <w:p>
      <w:pPr>
        <w:pStyle w:val="ListParagraph"/>
        <w:numPr>
          <w:ilvl w:val="0"/>
          <w:numId w:val="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Profilo clinico e inserisci solo i dati necessari.</w:t>
      </w:r>
    </w:p>
    <w:p>
      <w:pPr>
        <w:pStyle w:val="ListParagraph"/>
        <w:numPr>
          <w:ilvl w:val="0"/>
          <w:numId w:val="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Crea note private o fissa un estratto indicando una motivazione.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Le note cliniche private non vengono inviate all’AI. Gli estratti e i contenuti autorizzati possono essere usati solo nelle funzioni dichiarate.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La demo non è un fascicolo sanitario elettronico certificato.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Informativa, registro dei trattamenti e DPIA vanno completati prima dell’uso reale.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Usa una nota privata e un estratto fissato per mostrare chiaramente la separazione.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P05 · PERCORSO PROFESSIONISTA</w:t>
      </w:r>
    </w:p>
    <w:p>
      <w:pPr>
        <w:pStyle w:val="Heading2"/>
        <w:keepNext/>
        <w:spacing w:after="160" w:before="180"/>
      </w:pPr>
      <w:r>
        <w:t xml:space="preserve">Timeline e memoria interrogabile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Ordina riflessioni autorizzate, estratti, appuntamenti e note private in una storia consultabile.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professionista vede la timeline completa; le note private non sono fonti dell’AI.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 contenuti già autorizzati restano nella memoria della cartella; la risposta AI è un riepilogo derivato, non una nuova fonte clinica.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Timeline e memoria interrogabile.</w:t>
      </w:r>
    </w:p>
    <w:p>
      <w:pPr>
        <w:pStyle w:val="ListParagraph"/>
        <w:numPr>
          <w:ilvl w:val="0"/>
          <w:numId w:val="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Filtra per riflessioni, estratti, appuntamenti o note.</w:t>
      </w:r>
    </w:p>
    <w:p>
      <w:pPr>
        <w:pStyle w:val="ListParagraph"/>
        <w:numPr>
          <w:ilvl w:val="0"/>
          <w:numId w:val="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Scrivi una domanda oppure usa Cerca nella storia con la domanda suggerita.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risposta storica deve citare le fonti consultate e non deve formulare diagnosi.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Verificare sempre gli estratti citati.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Se non ci sono fonti autorizzate sufficienti, il sistema deve dichiararlo.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Chiedi: Quali temi ricorrono nelle ultime giornate autorizzate?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P06 · PERCORSO PROFESSIONISTA</w:t>
      </w:r>
    </w:p>
    <w:p>
      <w:pPr>
        <w:pStyle w:val="Heading2"/>
        <w:keepNext/>
        <w:spacing w:after="160" w:before="180"/>
      </w:pPr>
      <w:r>
        <w:t xml:space="preserve">Stile AI e domande di continuità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Consente al professionista di adattare tono e formulazioni mantenendo un perimetro controllato.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Configurazione professionale; la persona riceve le nuove formulazioni dalla sessione successiva.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Ogni modifica è versionata; la formulazione usata resta come snapshot nella conversazione.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Stile conversazionale generale.</w:t>
      </w:r>
    </w:p>
    <w:p>
      <w:pPr>
        <w:pStyle w:val="ListParagraph"/>
        <w:numPr>
          <w:ilvl w:val="0"/>
          <w:numId w:val="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Modifica una formulazione o aggiungi più varianti a una funzione approvata.</w:t>
      </w:r>
    </w:p>
    <w:p>
      <w:pPr>
        <w:pStyle w:val="ListParagraph"/>
        <w:numPr>
          <w:ilvl w:val="0"/>
          <w:numId w:val="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Salva e controlla la versione applicata.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Il modello sceglie tra funzioni e varianti consentite; non riceve libertà di inventare obiettivi clinici.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Aggiungere varianti non equivale a validarle clinicamente.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Evitare formulazioni direttive, diagnostiche o colpevolizzanti.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Prepara 2–3 varianti per funzione e confronta il tono in una nuova giornata.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P07 · PERCORSO PROFESSIONISTA</w:t>
      </w:r>
    </w:p>
    <w:p>
      <w:pPr>
        <w:pStyle w:val="Heading2"/>
        <w:keepNext/>
        <w:spacing w:after="160" w:before="180"/>
      </w:pPr>
      <w:r>
        <w:t xml:space="preserve">Temi neutri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Gestisce etichette descrittive personalizzabili che aiutano a organizzare il materiale senza diagnosi.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professionista configura; i risultati possono comparire nelle viste di continuità.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Le modifiche valgono per le elaborazioni successive; il materiale precedente conserva la propria provenienza.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Temi neutri.</w:t>
      </w:r>
    </w:p>
    <w:p>
      <w:pPr>
        <w:pStyle w:val="ListParagraph"/>
        <w:numPr>
          <w:ilvl w:val="0"/>
          <w:numId w:val="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Aggiungi, rinomina, disattiva o riordina un tema.</w:t>
      </w:r>
    </w:p>
    <w:p>
      <w:pPr>
        <w:pStyle w:val="ListParagraph"/>
        <w:numPr>
          <w:ilvl w:val="0"/>
          <w:numId w:val="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Usa i temi attivi nelle nuove elaborazioni.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L’AI può associare soltanto temi attivi e deve restare descrittiva.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Un tema non è una diagnosi né un indicatore di gravità.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Nomi e descrizioni devono restare osservabili e neutrali.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Preferisci Lavoro o Sonno a etichette interpretative.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P08 · PERCORSO PROFESSIONISTA</w:t>
      </w:r>
    </w:p>
    <w:p>
      <w:pPr>
        <w:pStyle w:val="Heading2"/>
        <w:keepNext/>
        <w:spacing w:after="160" w:before="180"/>
      </w:pPr>
      <w:r>
        <w:t xml:space="preserve">Catalogo dei pattern semantici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Rende configurabili i fenomeni descrittivi cercati nelle riflessioni e conserva evidenze testuali.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professionista gestisce il catalogo e le impostazioni per persona.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Catalogo e configurazioni sono versionati; l’evidenza rimanda al testo autorizzato.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Pattern di continuità.</w:t>
      </w:r>
    </w:p>
    <w:p>
      <w:pPr>
        <w:pStyle w:val="ListParagraph"/>
        <w:numPr>
          <w:ilvl w:val="0"/>
          <w:numId w:val="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una categoria, attiva i pattern utili e definisci marker neutrali.</w:t>
      </w:r>
    </w:p>
    <w:p>
      <w:pPr>
        <w:pStyle w:val="ListParagraph"/>
        <w:numPr>
          <w:ilvl w:val="0"/>
          <w:numId w:val="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Controlla ricorrenze ed estratti nella dashboard pre-seduta.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Il rilevamento deve appoggiarsi a evidenze testuali esatte e non trasformare il pattern in inferenza clinica.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I marker sono esempi linguistici, non parole chiave rigide.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Il catalogo demo richiede validazione clinica prima dell’uso reale.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Attiva pochi pattern pertinenti per ottenere una vista pre-seduta leggibile.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P09 · PERCORSO PROFESSIONISTA</w:t>
      </w:r>
    </w:p>
    <w:p>
      <w:pPr>
        <w:pStyle w:val="Heading2"/>
        <w:keepNext/>
        <w:spacing w:after="160" w:before="180"/>
      </w:pPr>
      <w:r>
        <w:t xml:space="preserve">Dashboard pre-seduta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Riduce il tempo di preparazione mostrando giornate, temi, ricorrenze ed estratti autorizzati.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Solo professionista nella cartella selezionata.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vista è derivata da fonti già autorizzate e non cambia gli originali.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Preparazione alla seduta.</w:t>
      </w:r>
    </w:p>
    <w:p>
      <w:pPr>
        <w:pStyle w:val="ListParagraph"/>
        <w:numPr>
          <w:ilvl w:val="0"/>
          <w:numId w:val="1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Controlla arco temporale e numero di giornate autorizzate.</w:t>
      </w:r>
    </w:p>
    <w:p>
      <w:pPr>
        <w:pStyle w:val="ListParagraph"/>
        <w:numPr>
          <w:ilvl w:val="0"/>
          <w:numId w:val="1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le card dei temi o pattern per leggere gli estratti di supporto.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L’AI organizza e sintetizza; il professionista mantiene la responsabilità dell’interpretazione.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Assenza di un pattern non significa assenza del fenomeno.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La frequenza non equivale a importanza clinica.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Usala come indice per tornare alle fonti, non come referto.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P10 · PERCORSO PROFESSIONISTA</w:t>
      </w:r>
    </w:p>
    <w:p>
      <w:pPr>
        <w:pStyle w:val="Heading2"/>
        <w:keepNext/>
        <w:spacing w:after="160" w:before="180"/>
      </w:pPr>
      <w:r>
        <w:t xml:space="preserve">Trascrizione e continuità vocale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Trascrive le riflessioni vocali e mostra misure tecniche di continuità nel tempo.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vede la trascrizione; il professionista vede misure solo sul materiale autorizzato.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demo conserva trascrizione e misure derivate; il file audio non viene mantenuto come memoria consultabile.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1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Registra una riflessione vocale dal profilo persona.</w:t>
      </w:r>
    </w:p>
    <w:p>
      <w:pPr>
        <w:pStyle w:val="ListParagraph"/>
        <w:numPr>
          <w:ilvl w:val="0"/>
          <w:numId w:val="11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Controlla lo stato della trascrizione e correggi il testo se necessario.</w:t>
      </w:r>
    </w:p>
    <w:p>
      <w:pPr>
        <w:pStyle w:val="ListParagraph"/>
        <w:numPr>
          <w:ilvl w:val="0"/>
          <w:numId w:val="11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Dopo campioni validi autorizzati, consulta qualità, baseline e confronto longitudinale.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trascrizione usa Deepgram; le misure derivano da timing e qualità tecnica, non da riconoscimento di emozioni.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Baseline disponibile dopo almeno cinque campioni validi autorizzati.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Evidenza vocale classificata D: sperimentale e non clinicamente validata.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Mostra sempre lo stato qualità prima di commentare un confronto vocale.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P11 · PERCORSO PROFESSIONISTA</w:t>
      </w:r>
    </w:p>
    <w:p>
      <w:pPr>
        <w:pStyle w:val="Heading2"/>
        <w:keepNext/>
        <w:spacing w:after="160" w:before="180"/>
      </w:pPr>
      <w:r>
        <w:t xml:space="preserve">Calendario appuntamenti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Collega gli incontri alla storia della persona e rende visibile il prossimo appuntamento.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Professionista e persona assegnata vedono i dati pertinenti.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Ogni appuntamento è collegato alla cartella e compare nella timeline.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Calendario appuntamenti.</w:t>
      </w:r>
    </w:p>
    <w:p>
      <w:pPr>
        <w:pStyle w:val="ListParagraph"/>
        <w:numPr>
          <w:ilvl w:val="0"/>
          <w:numId w:val="1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Crea data, orario, modalità e luogo o link.</w:t>
      </w:r>
    </w:p>
    <w:p>
      <w:pPr>
        <w:pStyle w:val="ListParagraph"/>
        <w:numPr>
          <w:ilvl w:val="0"/>
          <w:numId w:val="12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Aggiorna stato e messaggio per la persona quando necessario.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Gli appuntamenti possono essere citati nella ricerca storica, ma non diventano interpretazioni cliniche.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Promemoria automatici e sincronizzazione con calendari esterni non sono parte della demo corrente.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Non inserire link reali sensibili nella demo pubblica.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Crea un incontro futuro e uno concluso per mostrare entrambi gli stati.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214D42"/>
          <w:sz w:val="16"/>
          <w:szCs w:val="16"/>
        </w:rPr>
        <w:t xml:space="preserve">P12 · PERCORSO PROFESSIONISTA</w:t>
      </w:r>
    </w:p>
    <w:p>
      <w:pPr>
        <w:pStyle w:val="Heading2"/>
        <w:keepNext/>
        <w:spacing w:after="160" w:before="180"/>
      </w:pPr>
      <w:r>
        <w:t xml:space="preserve">Autorizzazione JIT e memoria permanente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Separa il consenso per una nuova giornata dalla consultazione stabile del materiale già autorizzato.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4"/>
        <w:gridCol w:w="3183"/>
        <w:gridCol w:w="3183"/>
      </w:tblGrid>
      <w:tr>
        <w:trPr>
          <w:cantSplit/>
        </w:trPr>
        <w:tc>
          <w:tcPr>
            <w:tcW w:type="dxa" w:w="3184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1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Giornata aperta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Riflessioni unite nella stessa sessione.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2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Chiusura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Un solo PIN monouso per il giorno.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3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Memoria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Dopo la verifica resta consultabile.</w:t>
            </w:r>
          </w:p>
        </w:tc>
      </w:tr>
    </w:tbl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genera il PIN; il professionista lo usa nella propria dashboard.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PIN è monouso. L’autorizzazione registrata è persistente e distinta dalle eventuali finestre operative contestuali.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persona conclude la sessione giornaliera e genera un solo PIN.</w:t>
      </w:r>
    </w:p>
    <w:p>
      <w:pPr>
        <w:pStyle w:val="ListParagraph"/>
        <w:numPr>
          <w:ilvl w:val="0"/>
          <w:numId w:val="1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Il professionista inserisce il PIN in Autorizza una giornata.</w:t>
      </w:r>
    </w:p>
    <w:p>
      <w:pPr>
        <w:pStyle w:val="ListParagraph"/>
        <w:numPr>
          <w:ilvl w:val="0"/>
          <w:numId w:val="13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giornata entra definitivamente nella memoria consultabile della cartella; la giornata successiva resta protetta.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Solo il materiale che ha completato il flusso previsto può alimentare analisi storiche e pre-seduta.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Non usare il PIN come autenticazione generale dell’account.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Revoca, rettifica e gestione dei diritti vanno formalizzate prima della produzione sanitaria.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La frase chiave della demo è: un PIN per una giornata, memoria stabile dopo il consenso.</w:t>
            </w:r>
          </w:p>
        </w:tc>
      </w:tr>
    </w:tbl>
    <w:p>
      <w:pPr>
        <w:sectPr>
          <w:headerReference w:type="default" r:id="rId11"/>
          <w:footerReference w:type="default" r:id="rId12"/>
          <w:type w:val="nextPage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PERCORSO PERSONALE</w:t>
      </w:r>
    </w:p>
    <w:p>
      <w:pPr>
        <w:pStyle w:val="Heading1"/>
        <w:keepNext/>
        <w:spacing w:after="160" w:before="280"/>
      </w:pPr>
      <w:r>
        <w:t xml:space="preserve">Guida della persona assistita</w:t>
      </w:r>
    </w:p>
    <w:p>
      <w:pPr>
        <w:spacing w:after="260" w:before="0" w:line="300" w:lineRule="auto"/>
      </w:pPr>
      <w:r>
        <w:rPr>
          <w:rFonts w:ascii="Aptos" w:cs="Aptos" w:eastAsia="Aptos" w:hAnsi="Aptos"/>
          <w:color w:val="61716B"/>
          <w:sz w:val="22"/>
          <w:szCs w:val="22"/>
        </w:rPr>
        <w:t xml:space="preserve">Dalla prima riflessione alla condivisione consapevole di una giornata conclusa. Le nuove giornate restano protette fino a nuova autorizzazione.</w:t>
      </w: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A01 · PERCORSO PERSONA</w:t>
      </w:r>
    </w:p>
    <w:p>
      <w:pPr>
        <w:pStyle w:val="Heading2"/>
        <w:keepNext/>
        <w:spacing w:after="160" w:before="180"/>
      </w:pPr>
      <w:r>
        <w:t xml:space="preserve">Attivazione dello spazio personale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Consente alla persona invitata di creare credenziali proprie e collegarsi allo studio corretto.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Persona invitata; il professionista vede l’avvenuta associazione.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L’account viene associato all’invito monouso e alla cartella con pseudonimo.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Apri il link ricevuto dal professionista.</w:t>
      </w:r>
    </w:p>
    <w:p>
      <w:pPr>
        <w:pStyle w:val="ListParagraph"/>
        <w:numPr>
          <w:ilvl w:val="0"/>
          <w:numId w:val="1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Crea email e password in una finestra dove non sia già connesso il professionista.</w:t>
      </w:r>
    </w:p>
    <w:p>
      <w:pPr>
        <w:pStyle w:val="ListParagraph"/>
        <w:numPr>
          <w:ilvl w:val="0"/>
          <w:numId w:val="14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Accedi alla tua area personale.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Nessuna elaborazione AI avviene durante l’attivazione.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La demo non deve contenere dati sanitari reali.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Se il link è scaduto o già usato, serve un nuovo invito.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Su un solo computer usa una finestra privata per il profilo persona.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A02 · PERCORSO PERSONA</w:t>
      </w:r>
    </w:p>
    <w:p>
      <w:pPr>
        <w:pStyle w:val="Heading2"/>
        <w:keepNext/>
        <w:spacing w:after="160" w:before="180"/>
      </w:pPr>
      <w:r>
        <w:t xml:space="preserve">Riflessione scritta o vocale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Raccoglie ciò che la persona desidera ricordare durante la giornata.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durante la giornata; il professionista solo dopo l’autorizzazione.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Tutti i messaggi dello stesso giorno appartengono a un’unica sessione giornaliera protetta.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Scrivi una riflessione oppure avvia la registrazione vocale.</w:t>
      </w:r>
    </w:p>
    <w:p>
      <w:pPr>
        <w:pStyle w:val="ListParagraph"/>
        <w:numPr>
          <w:ilvl w:val="0"/>
          <w:numId w:val="1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Per la voce, attendi la trascrizione e rileggi il testo.</w:t>
      </w:r>
    </w:p>
    <w:p>
      <w:pPr>
        <w:pStyle w:val="ListParagraph"/>
        <w:numPr>
          <w:ilvl w:val="0"/>
          <w:numId w:val="15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Invia per aggiungere il contenuto alla sessione del giorno.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A seconda della policy, MENS può restare silenzioso, organizzare per il professionista o proporre una risposta contenuta.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MENS non è un servizio di emergenza.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La trascrizione può contenere errori e va verificata.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Per la demo registra 15–30 secondi in un ambiente silenzioso.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A03 · PERCORSO PERSONA</w:t>
      </w:r>
    </w:p>
    <w:p>
      <w:pPr>
        <w:pStyle w:val="Heading2"/>
        <w:keepNext/>
        <w:spacing w:after="160" w:before="180"/>
      </w:pPr>
      <w:r>
        <w:t xml:space="preserve">Dialogo controllato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Offre continuità senza simulare una terapia o trasformarsi in una chat generica.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Persona nella sessione del giorno; il professionista dopo l’autorizzazione della giornata.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Domande e risposte restano unite alla giornata e conservano la configurazione usata.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Leggi l’eventuale domanda proposta.</w:t>
      </w:r>
    </w:p>
    <w:p>
      <w:pPr>
        <w:pStyle w:val="ListParagraph"/>
        <w:numPr>
          <w:ilvl w:val="0"/>
          <w:numId w:val="1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Rispondi liberamente oppure scegli di fermarti.</w:t>
      </w:r>
    </w:p>
    <w:p>
      <w:pPr>
        <w:pStyle w:val="ListParagraph"/>
        <w:numPr>
          <w:ilvl w:val="0"/>
          <w:numId w:val="16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Continua nella stessa sessione fino alla chiusura della giornata.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Le risposte seguono lo stile e le funzioni approvate dallo studio e sono sottoposte ai controlli deterministici di emergenza.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L’AI non formula diagnosi, prescrizioni o decisioni terapeutiche.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Una risposta generica può indicare configurazione prudente o indisponibilità temporanea del modello.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Confronta il comportamento L1 e L3 per capire il perimetro scelto dal professionista.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A04 · PERCORSO PERSONA</w:t>
      </w:r>
    </w:p>
    <w:p>
      <w:pPr>
        <w:pStyle w:val="Heading2"/>
        <w:keepNext/>
        <w:spacing w:after="160" w:before="180"/>
      </w:pPr>
      <w:r>
        <w:t xml:space="preserve">Da discutere in seduta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Permette alla persona di segnalare un passaggio da riprendere con il professionista.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Persona subito; professionista quando il relativo materiale viene autorizzato.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Il contrassegno resta legato al contenuto originale e alla giornata.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Individua il messaggio importante.</w:t>
      </w:r>
    </w:p>
    <w:p>
      <w:pPr>
        <w:pStyle w:val="ListParagraph"/>
        <w:numPr>
          <w:ilvl w:val="0"/>
          <w:numId w:val="1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Premi Da discutere in seduta.</w:t>
      </w:r>
    </w:p>
    <w:p>
      <w:pPr>
        <w:pStyle w:val="ListParagraph"/>
        <w:numPr>
          <w:ilvl w:val="0"/>
          <w:numId w:val="17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Verifica lo stato visivo della segnalazione.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segnalazione è una scelta della persona, non un giudizio automatico dell’AI.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Non sostituisce un contatto urgente con il professionista o i servizi di emergenza.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Segnala un solo passaggio nella prova, così sarà immediatamente riconoscibile.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A05 · PERCORSO PERSONA</w:t>
      </w:r>
    </w:p>
    <w:p>
      <w:pPr>
        <w:pStyle w:val="Heading2"/>
        <w:keepNext/>
        <w:spacing w:after="160" w:before="180"/>
      </w:pPr>
      <w:r>
        <w:t xml:space="preserve">Chiusura della giornata e PIN unico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Chiude l’unità narrativa del giorno e consente alla persona di autorizzarla con una sola azione.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84"/>
        <w:gridCol w:w="3183"/>
        <w:gridCol w:w="3183"/>
      </w:tblGrid>
      <w:tr>
        <w:trPr>
          <w:cantSplit/>
        </w:trPr>
        <w:tc>
          <w:tcPr>
            <w:tcW w:type="dxa" w:w="3184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1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Giornata aperta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Riflessioni unite nella stessa sessione.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2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Chiusura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Un solo PIN monouso per il giorno.</w:t>
            </w:r>
          </w:p>
        </w:tc>
        <w:tc>
          <w:tcPr>
            <w:tcW w:type="dxa" w:w="3183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5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9A684D"/>
                <w:sz w:val="26"/>
                <w:szCs w:val="26"/>
              </w:rPr>
              <w:t xml:space="preserve">3</w:t>
            </w:r>
          </w:p>
          <w:p>
            <w:pPr>
              <w:spacing w:after="70" w:before="0" w:line="300" w:lineRule="auto"/>
              <w:jc w:val="center"/>
            </w:pPr>
            <w:r>
              <w:rPr>
                <w:rFonts w:ascii="Aptos" w:cs="Aptos" w:eastAsia="Aptos" w:hAnsi="Aptos"/>
                <w:b/>
                <w:bCs/>
                <w:color w:val="18312B"/>
                <w:sz w:val="20"/>
                <w:szCs w:val="20"/>
              </w:rPr>
              <w:t xml:space="preserve">Memoria</w:t>
            </w:r>
          </w:p>
          <w:p>
            <w:pPr>
              <w:spacing w:after="0" w:before="0" w:line="300" w:lineRule="auto"/>
              <w:jc w:val="center"/>
            </w:pPr>
            <w:r>
              <w:rPr>
                <w:rFonts w:ascii="Aptos" w:cs="Aptos" w:eastAsia="Aptos" w:hAnsi="Aptos"/>
                <w:color w:val="61716B"/>
                <w:sz w:val="17"/>
                <w:szCs w:val="17"/>
              </w:rPr>
              <w:t xml:space="preserve">Dopo la verifica resta consultabile.</w:t>
            </w:r>
          </w:p>
        </w:tc>
      </w:tr>
    </w:tbl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controlla generazione e condivisione; il professionista vede il risultato dopo la verifica.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Un PIN autorizza l’intera conversazione giornaliera, non ogni singolo messaggio.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Quando hai finito, concludi la sessione del giorno.</w:t>
      </w:r>
    </w:p>
    <w:p>
      <w:pPr>
        <w:pStyle w:val="ListParagraph"/>
        <w:numPr>
          <w:ilvl w:val="0"/>
          <w:numId w:val="1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Genera il PIN monouso della giornata.</w:t>
      </w:r>
    </w:p>
    <w:p>
      <w:pPr>
        <w:pStyle w:val="ListParagraph"/>
        <w:numPr>
          <w:ilvl w:val="0"/>
          <w:numId w:val="18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Comunicalo al professionista attraverso il canale concordato.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giornata conclusa non riceve nuovi messaggi; il giorno successivo parte una nuova sessione.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Non pubblicare il PIN.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Un giorno nuovo richiede una nuova autorizzazione.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La giornata non deve essere chiusa dopo ogni riflessione.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A06 · PERCORSO PERSONA</w:t>
      </w:r>
    </w:p>
    <w:p>
      <w:pPr>
        <w:pStyle w:val="Heading2"/>
        <w:keepNext/>
        <w:spacing w:after="160" w:before="180"/>
      </w:pPr>
      <w:r>
        <w:t xml:space="preserve">Trasparenza e contenuti condivisi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Mostra alla persona che cosa è entrato nella memoria e quali estratti il professionista ha fissato.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Persona assistita; il professionista gestisce gli estratti dal Fascicolo.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Le giornate autorizzate restano consultabili; gli estratti fissati sono copie referenziate, non modifiche dell’originale.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1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Espandi Trasparenza.</w:t>
      </w:r>
    </w:p>
    <w:p>
      <w:pPr>
        <w:pStyle w:val="ListParagraph"/>
        <w:numPr>
          <w:ilvl w:val="0"/>
          <w:numId w:val="1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Controlla il numero di conversazioni giornaliere autorizzate.</w:t>
      </w:r>
    </w:p>
    <w:p>
      <w:pPr>
        <w:pStyle w:val="ListParagraph"/>
        <w:numPr>
          <w:ilvl w:val="0"/>
          <w:numId w:val="19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Leggi gli eventuali estratti fissati dal professionista.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sezione non genera nuove analisi: rende visibili provenienza e stato della memoria.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Le note cliniche private non compaiono alla persona.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Diritti e informative complete richiedono la documentazione privacy di produzione.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Dopo la prova del PIN, aggiorna la pagina e mostra l’aumento del conteggio.</w:t>
            </w:r>
          </w:p>
        </w:tc>
      </w:tr>
    </w:tbl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A07 · PERCORSO PERSONA</w:t>
      </w:r>
    </w:p>
    <w:p>
      <w:pPr>
        <w:pStyle w:val="Heading2"/>
        <w:keepNext/>
        <w:spacing w:after="160" w:before="180"/>
      </w:pPr>
      <w:r>
        <w:t xml:space="preserve">Controllo delle emergenze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21"/>
          <w:szCs w:val="21"/>
        </w:rPr>
        <w:t xml:space="preserve">Intercetta espressioni esplicite ad alta priorità con regole verificabili, indipendenti dal modello generativo.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CHI VEDE COSA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vede il messaggio di sicurezza; gli eventi tecnici seguono le regole definite per la demo.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CHE COSA RESTA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Versione della regola e risultato del controllo devono restare ricostruibili.</w:t>
            </w:r>
          </w:p>
        </w:tc>
      </w:tr>
    </w:tbl>
    <w:p>
      <w:pPr>
        <w:pStyle w:val="Heading3"/>
        <w:keepNext/>
        <w:spacing w:after="160" w:before="180"/>
      </w:pPr>
      <w:r>
        <w:t xml:space="preserve">Come si usa</w:t>
      </w:r>
    </w:p>
    <w:p>
      <w:pPr>
        <w:pStyle w:val="ListParagraph"/>
        <w:numPr>
          <w:ilvl w:val="0"/>
          <w:numId w:val="2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Il testo viene controllato prima della risposta generativa.</w:t>
      </w:r>
    </w:p>
    <w:p>
      <w:pPr>
        <w:pStyle w:val="ListParagraph"/>
        <w:numPr>
          <w:ilvl w:val="0"/>
          <w:numId w:val="2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In caso di corrispondenza, MENS interrompe il normale dialogo e mostra indicazioni immediate.</w:t>
      </w:r>
    </w:p>
    <w:p>
      <w:pPr>
        <w:pStyle w:val="ListParagraph"/>
        <w:numPr>
          <w:ilvl w:val="0"/>
          <w:numId w:val="20"/>
        </w:numPr>
        <w:spacing w:after="9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La persona deve contattare i servizi di emergenza o una persona di fiducia secondo il messaggio mostrato.</w:t>
      </w:r>
    </w:p>
    <w:p>
      <w:pPr>
        <w:pStyle w:val="Heading3"/>
        <w:keepNext/>
        <w:spacing w:after="160" w:before="180"/>
      </w:pPr>
      <w:r>
        <w:t xml:space="preserve">Ruolo dell’AI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Il catalogo deterministico ha precedenza su Claude e non delega al modello una valutazione clinica del rischio.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50"/>
      </w:tblGrid>
      <w:tr>
        <w:trPr>
          <w:cantSplit/>
        </w:trPr>
        <w:tc>
          <w:tcPr>
            <w:tcW w:type="dxa" w:w="6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LIMITI DELLA DEMO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Il controllo non garantisce di riconoscere ogni situazione.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80" w:line="28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MENS non monitora continuamente e non sostituisce 112, pronto soccorso o servizi territoriali.</w:t>
            </w:r>
          </w:p>
        </w:tc>
        <w:tc>
          <w:tcPr>
            <w:tcW w:type="dxa" w:w="3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DA MOSTRARE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8"/>
                <w:szCs w:val="18"/>
              </w:rPr>
              <w:t xml:space="preserve">In presentazione usa esclusivamente frasi sintetiche preparate per il test, mai casi reali.</w:t>
            </w:r>
          </w:p>
        </w:tc>
      </w:tr>
    </w:tbl>
    <w:p>
      <w:pPr>
        <w:sectPr>
          <w:headerReference w:type="default" r:id="rId13"/>
          <w:footerReference w:type="default" r:id="rId14"/>
          <w:type w:val="nextPage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PERIMETRO</w:t>
      </w:r>
    </w:p>
    <w:p>
      <w:pPr>
        <w:pStyle w:val="Heading1"/>
        <w:keepNext/>
        <w:spacing w:after="160" w:before="280"/>
      </w:pPr>
      <w:r>
        <w:t xml:space="preserve">AI, sicurezza e responsabilità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18312B"/>
          <w:sz w:val="20"/>
          <w:szCs w:val="20"/>
        </w:rPr>
        <w:t xml:space="preserve">Questi principi devono essere esplicitati durante ogni dimostrazione e tradotti in documentazione, verifiche e formazione prima dell’uso con dati reali.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5"/>
        <w:gridCol w:w="4775"/>
      </w:tblGrid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Separazione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Memoria autorizzata, note private e configurazioni professionali hanno ruoli e visibilità distinti.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Provenienza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Versioni, snapshot ed estratti citati permettono di ricostruire perché una risposta o una vista è comparsa.</w:t>
            </w:r>
          </w:p>
        </w:tc>
      </w:tr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Neutralità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Temi e pattern descrivono ricorrenze linguistiche; non formulano diagnosi, prognosi o priorità cliniche.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Controllo umano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persona autorizza le giornate; il professionista valida contesto, configurazione e uso delle sintesi.</w:t>
            </w:r>
          </w:p>
        </w:tc>
      </w:tr>
      <w:tr>
        <w:trPr>
          <w:cantSplit/>
        </w:trPr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Sicurezza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Le emergenze seguono regole deterministiche e hanno precedenza sulla generazione conversazionale.</w:t>
            </w:r>
          </w:p>
        </w:tc>
        <w:tc>
          <w:tcPr>
            <w:tcW w:type="dxa" w:w="47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8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21"/>
                <w:szCs w:val="21"/>
              </w:rPr>
              <w:t xml:space="preserve">Minimizzazione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La demo usa dati sintetici e limita ogni funzione al contesto necessario.</w:t>
            </w:r>
          </w:p>
        </w:tc>
      </w:tr>
    </w:tbl>
    <w:p>
      <w:pPr>
        <w:pStyle w:val="Heading2"/>
        <w:keepNext/>
        <w:spacing w:after="160" w:before="180"/>
      </w:pPr>
      <w:r>
        <w:t xml:space="preserve">Catena di sicurezza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275"/>
        <w:gridCol w:w="3275"/>
      </w:tblGrid>
      <w:tr>
        <w:trPr>
          <w:cantSplit/>
        </w:trPr>
        <w:tc>
          <w:tcPr>
            <w:tcW w:type="dxa" w:w="30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5E3D7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1 · PRIMA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Controllo deterministico delle espressioni di emergenza.</w:t>
            </w:r>
          </w:p>
        </w:tc>
        <w:tc>
          <w:tcPr>
            <w:tcW w:type="dxa" w:w="32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E3EFE5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2 · DURANTE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Generazione vincolata da policy, stile e funzioni approvate.</w:t>
            </w:r>
          </w:p>
        </w:tc>
        <w:tc>
          <w:tcPr>
            <w:tcW w:type="dxa" w:w="3275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3 · DOPO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18312B"/>
                <w:sz w:val="18"/>
                <w:szCs w:val="18"/>
              </w:rPr>
              <w:t xml:space="preserve">Versione, snapshot, fonti ed evidenze rendono il risultato verificabile.</w:t>
            </w:r>
          </w:p>
        </w:tc>
      </w:tr>
    </w:tbl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50"/>
      </w:tblGrid>
      <w:tr>
        <w:trPr>
          <w:cantSplit/>
        </w:trPr>
        <w:tc>
          <w:tcPr>
            <w:tcW w:type="dxa" w:w="9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3DF" w:color="auto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9A684D"/>
                <w:sz w:val="16"/>
                <w:szCs w:val="16"/>
              </w:rPr>
              <w:t xml:space="preserve">DA COMPLETARE PRIMA DELLA PRODUZIONE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Validazione clinica, DPIA, informativa e consenso, registro dei trattamenti, procedure di esercizio dei diritti, retention, incident response, test di sicurezza periodici, accordi con fornitori e gestione formalizzata delle emergenze.</w:t>
            </w:r>
          </w:p>
        </w:tc>
      </w:tr>
    </w:tbl>
    <w:p>
      <w:pPr>
        <w:sectPr>
          <w:headerReference w:type="default" r:id="rId15"/>
          <w:footerReference w:type="default" r:id="rId16"/>
          <w:type w:val="nextPage"/>
          <w:pgSz w:w="11906" w:h="16838" w:orient="portrait"/>
          <w:pgMar w:top="1050" w:right="1178" w:bottom="900" w:left="1178" w:header="500" w:footer="500" w:gutter="0"/>
          <w:pgNumType/>
          <w:docGrid w:linePitch="360"/>
        </w:sectPr>
      </w:pPr>
    </w:p>
    <w:p>
      <w:pPr>
        <w:keepNext/>
        <w:spacing w:after="80" w:before="100"/>
      </w:pPr>
      <w:r>
        <w:rPr>
          <w:rFonts w:ascii="Aptos" w:cs="Aptos" w:eastAsia="Aptos" w:hAnsi="Aptos"/>
          <w:b/>
          <w:bCs/>
          <w:color w:val="9A684D"/>
          <w:sz w:val="16"/>
          <w:szCs w:val="16"/>
        </w:rPr>
        <w:t xml:space="preserve">CONSULTAZIONE RAPIDA</w:t>
      </w:r>
    </w:p>
    <w:p>
      <w:pPr>
        <w:pStyle w:val="Heading1"/>
        <w:keepNext/>
        <w:spacing w:after="160" w:before="280"/>
      </w:pPr>
      <w:r>
        <w:t xml:space="preserve">Glossario essenziale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7300"/>
      </w:tblGrid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JIT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Just-In-Time: autorizzazione puntuale che rende disponibile una nuova giornata senza riaprire tutta la cartella.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Sessione giornaliera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Insieme di riflessioni e risposte appartenenti allo stesso giorno e autorizzabili con un solo PIN.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Memoria permanente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Materiale già autorizzato che resta consultabile nella cartella; non comprende automaticamente le giornate future.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Fascicolo professionale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Area per profilo clinico, note private ed estratti fissati, distinta dal materiale grezzo della persona.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Tema neutro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Etichetta organizzativa descrittiva, modificabile dallo studio e priva di valore diagnostico.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Pattern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Fenomeno linguistico osservabile supportato da evidenze testuali; non è una conclusione clinica.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Baseline vocale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Riferimento personale ottenuto da almeno cinque campioni validi autorizzati; nella demo ha valore sperimentale.</w:t>
            </w:r>
          </w:p>
        </w:tc>
      </w:tr>
      <w:tr>
        <w:trPr>
          <w:cantSplit/>
        </w:trPr>
        <w:tc>
          <w:tcPr>
            <w:tcW w:type="dxa" w:w="22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b/>
                <w:bCs/>
                <w:color w:val="214D42"/>
                <w:sz w:val="19"/>
                <w:szCs w:val="19"/>
              </w:rPr>
              <w:t xml:space="preserve">Snapshot</w:t>
            </w:r>
          </w:p>
        </w:tc>
        <w:tc>
          <w:tcPr>
            <w:tcW w:type="dxa" w:w="730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FFDF8" w:color="auto" w:val="clear"/>
            <w:tcMar>
              <w:top w:type="dxa" w:w="170"/>
              <w:left w:type="dxa" w:w="170"/>
              <w:bottom w:type="dxa" w:w="170"/>
              <w:right w:type="dxa" w:w="170"/>
            </w:tcMar>
          </w:tcPr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8"/>
                <w:szCs w:val="18"/>
              </w:rPr>
              <w:t xml:space="preserve">Copia della configurazione o formulazione effettivamente usata, conservata per la tracciabilità.</w:t>
            </w:r>
          </w:p>
        </w:tc>
      </w:tr>
    </w:tbl>
    <w:p>
      <w:pPr>
        <w:pStyle w:val="Heading2"/>
        <w:keepNext/>
        <w:spacing w:after="160" w:before="180"/>
      </w:pPr>
      <w:r>
        <w:t xml:space="preserve">Checklist prima di una demo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Usare esclusivamente account e contenuti sintetici.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Preparare due browser o una finestra privata per separare i ruoli.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Verificare prima della demo che n8n, Claude e Deepgram siano attivi.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Creare in anticipo almeno una giornata già autorizzata e un appuntamento futuro.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Mostrare fonti ed estratti prima di commentare una sintesi AI.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Dichiarare che pattern vocali e semantici sono sperimentali e non diagnostici.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Non simulare un’emergenza reale e non presentare MENS come servizio di monitoraggio.</w:t>
      </w:r>
    </w:p>
    <w:p>
      <w:pPr>
        <w:pStyle w:val="ListParagraph"/>
        <w:numPr>
          <w:ilvl w:val="0"/>
          <w:numId w:val="1"/>
        </w:numPr>
        <w:spacing w:after="80" w:line="280" w:lineRule="auto"/>
      </w:pPr>
      <w:r>
        <w:rPr>
          <w:rFonts w:ascii="Aptos" w:cs="Aptos" w:eastAsia="Aptos" w:hAnsi="Aptos"/>
          <w:color w:val="61716B"/>
          <w:sz w:val="19"/>
          <w:szCs w:val="19"/>
        </w:rPr>
        <w:t xml:space="preserve">Raccogliere gli errori con ora, ruolo, sezione e azione eseguita.</w:t>
      </w:r>
    </w:p>
    <w:tbl>
      <w:tblPr>
        <w:tblW w:type="dxa" w:w="9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50"/>
      </w:tblGrid>
      <w:tr>
        <w:trPr>
          <w:cantSplit/>
        </w:trPr>
        <w:tc>
          <w:tcPr>
            <w:tcW w:type="dxa" w:w="9550"/>
            <w:tcBorders>
              <w:top w:val="single" w:color="D9D7CD" w:sz="4"/>
              <w:left w:val="single" w:color="D9D7CD" w:sz="4"/>
              <w:bottom w:val="single" w:color="D9D7CD" w:sz="4"/>
              <w:right w:val="single" w:color="D9D7CD" w:sz="4"/>
            </w:tcBorders>
            <w:shd w:fill="F2F7F2" w:color="auto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keepNext/>
              <w:spacing w:after="80" w:before="100"/>
            </w:pPr>
            <w:r>
              <w:rPr>
                <w:rFonts w:ascii="Aptos" w:cs="Aptos" w:eastAsia="Aptos" w:hAnsi="Aptos"/>
                <w:b/>
                <w:bCs/>
                <w:color w:val="214D42"/>
                <w:sz w:val="16"/>
                <w:szCs w:val="16"/>
              </w:rPr>
              <w:t xml:space="preserve">SUPPORTO AL TEST</w:t>
            </w:r>
          </w:p>
          <w:p>
            <w:pPr>
              <w:spacing w:after="0" w:before="0" w:line="300" w:lineRule="auto"/>
            </w:pPr>
            <w:r>
              <w:rPr>
                <w:rFonts w:ascii="Aptos" w:cs="Aptos" w:eastAsia="Aptos" w:hAnsi="Aptos"/>
                <w:color w:val="61716B"/>
                <w:sz w:val="19"/>
                <w:szCs w:val="19"/>
              </w:rPr>
              <w:t xml:space="preserve">Quando segnali un problema annota: data e ora, ruolo usato, pagina o card, azione compiuta, risultato atteso, risultato ottenuto e dispositivo. Non includere credenziali, PIN o contenuti sensibili.</w:t>
            </w:r>
          </w:p>
        </w:tc>
      </w:tr>
    </w:tbl>
    <w:p>
      <w:r>
        <w:br w:type="page"/>
      </w:r>
    </w:p>
    <w:p>
      <w:pPr>
        <w:pStyle w:val="Heading1"/>
        <w:keepNext/>
        <w:spacing w:after="160" w:before="280"/>
      </w:pPr>
      <w:r>
        <w:t xml:space="preserve">Nota finale</w:t>
      </w:r>
    </w:p>
    <w:p>
      <w:pPr>
        <w:spacing w:after="120" w:before="0" w:line="300" w:lineRule="auto"/>
      </w:pPr>
      <w:r>
        <w:rPr>
          <w:rFonts w:ascii="Aptos" w:cs="Aptos" w:eastAsia="Aptos" w:hAnsi="Aptos"/>
          <w:color w:val="18312B"/>
          <w:sz w:val="20"/>
          <w:szCs w:val="20"/>
        </w:rPr>
        <w:t xml:space="preserve">Questo manuale descrive lo stato della demo MENS alla versione indicata. La guida integrata nell’app costituisce il riferimento operativo più rapido; il documento DOCX è modificabile e il PDF è adatto alla distribuzione controllata.</w:t>
      </w:r>
    </w:p>
    <w:p>
      <w:pPr>
        <w:spacing w:after="120" w:before="300" w:line="300" w:lineRule="auto"/>
      </w:pPr>
      <w:r>
        <w:rPr>
          <w:rFonts w:ascii="Aptos" w:cs="Aptos" w:eastAsia="Aptos" w:hAnsi="Aptos"/>
          <w:b/>
          <w:bCs/>
          <w:color w:val="214D42"/>
          <w:sz w:val="22"/>
          <w:szCs w:val="22"/>
        </w:rPr>
        <w:t xml:space="preserve">MENS · fare chiarezza</w:t>
      </w:r>
    </w:p>
    <w:sectPr>
      <w:headerReference w:type="default" r:id="rId17"/>
      <w:footerReference w:type="default" r:id="rId18"/>
      <w:type w:val="nextPage"/>
      <w:pgSz w:w="11906" w:h="16838" w:orient="portrait"/>
      <w:pgMar w:top="1050" w:right="1178" w:bottom="900" w:left="1178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ptos" w:cs="Aptos" w:eastAsia="Aptos" w:hAnsi="Aptos"/>
        <w:color w:val="61716B"/>
        <w:sz w:val="16"/>
        <w:szCs w:val="16"/>
      </w:rPr>
      <w:t xml:space="preserve">Versione 1.0  ·  Settembre 2026  ·  Pagina </w:t>
    </w:r>
    <w:r>
      <w:rPr>
        <w:rFonts w:ascii="Aptos" w:cs="Aptos" w:eastAsia="Aptos" w:hAnsi="Aptos"/>
        <w:color w:val="617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7CD" w:sz="5" w:space="6"/>
      </w:pBdr>
      <w:spacing w:after="120"/>
    </w:pPr>
    <w:r>
      <w:rPr>
        <w:rFonts w:ascii="Aptos" w:cs="Aptos" w:eastAsia="Aptos" w:hAnsi="Aptos"/>
        <w:b/>
        <w:bCs/>
        <w:color w:val="214D42"/>
        <w:sz w:val="17"/>
        <w:szCs w:val="17"/>
      </w:rPr>
      <w:t xml:space="preserve">MENS</w:t>
    </w:r>
    <w:r>
      <w:rPr>
        <w:rFonts w:ascii="Aptos" w:cs="Aptos" w:eastAsia="Aptos" w:hAnsi="Aptos"/>
        <w:color w:val="61716B"/>
        <w:sz w:val="17"/>
        <w:szCs w:val="17"/>
      </w:rPr>
      <w:t xml:space="preserve">  ·  Manuale operativo della demo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1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15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18"/>
    <w:lvlOverride w:ilvl="0">
      <w:startOverride w:val="1"/>
    </w:lvlOverride>
  </w:num>
  <w:num w:numId="19">
    <w:abstractNumId w:val="19"/>
    <w:lvlOverride w:ilvl="0">
      <w:startOverride w:val="1"/>
    </w:lvlOverride>
  </w:num>
  <w:num w:numId="20">
    <w:abstractNumId w:val="2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312B"/>
        <w:sz w:val="20"/>
        <w:szCs w:val="20"/>
      </w:rPr>
    </w:rPrDefault>
    <w:pPrDefault>
      <w:pPr>
        <w:spacing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Georgia" w:cs="Georgia" w:eastAsia="Georgia" w:hAnsi="Georgia"/>
      <w:color w:val="18312B"/>
      <w:sz w:val="54"/>
      <w:szCs w:val="54"/>
    </w:rPr>
  </w:style>
  <w:style w:type="paragraph" w:styleId="Heading1">
    <w:name w:val="Heading 1"/>
    <w:basedOn w:val="Normal"/>
    <w:next w:val="Normal"/>
    <w:qFormat/>
    <w:pPr>
      <w:keepNext/>
      <w:spacing w:after="180" w:before="320"/>
      <w:outlineLvl w:val="0"/>
    </w:pPr>
    <w:rPr>
      <w:rFonts w:ascii="Georgia" w:cs="Georgia" w:eastAsia="Georgia" w:hAnsi="Georgia"/>
      <w:color w:val="18312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40" w:before="260"/>
      <w:outlineLvl w:val="1"/>
    </w:pPr>
    <w:rPr>
      <w:rFonts w:ascii="Georgia" w:cs="Georgia" w:eastAsia="Georgia" w:hAnsi="Georgia"/>
      <w:color w:val="18312B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00" w:before="180"/>
      <w:outlineLvl w:val="2"/>
    </w:pPr>
    <w:rPr>
      <w:rFonts w:ascii="Aptos" w:cs="Aptos" w:eastAsia="Aptos" w:hAnsi="Aptos"/>
      <w:b/>
      <w:bCs/>
      <w:color w:val="214D4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Manuale operativo della demo MENS</dc:title>
  <dc:subject>Manuale operativo della demo MENS</dc:subject>
  <dc:creator>MENS</dc:creator>
  <cp:keywords>MENS, demo, manuale, JIT, memoria autorizzata, AI</cp:keywords>
  <dc:description>Guida per professionisti e persone assistite all’uso della demo MENS.</dc:description>
  <cp:lastModifiedBy>Un-named</cp:lastModifiedBy>
  <cp:revision>1</cp:revision>
  <dcterms:created xsi:type="dcterms:W3CDTF">2026-09-12T14:47:00.854Z</dcterms:created>
  <dcterms:modified xsi:type="dcterms:W3CDTF">2026-09-12T14:47:00.857Z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